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Dans quelle mesure Les Cahiers de Douai d’Arthur Rimbaud reflètent-ils une poésie de rupture et d’engagement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pour s’initier à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 : Quelle problématique correspond le mieux à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En quoi Les Cahiers de Douai sont-ils novateurs sur le plan esthétique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Cahiers de Douai sont-ils une simple critique sociale ou une quête esthétique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Comment Les Cahiers de Douai traduisent-ils une poésie de rupture et d’engagement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Pourquoi Rimbaud rejette-t-il les conventions poétiques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 : Quel poème illustre le mieux la dénonciation des horreurs de la guerre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3 : Quelle caractéristique traduit le mieux la rupture poétique de Rimbaud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L’emploi systématique des alexandrins.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mise en avant de thèmes classiques comme l’amour courtois.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L’usage d’images novatrices et une musicalité libre.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reprise des formes fixes comme le sonnet.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4 : Quel aspect de la poésie de Rimbaud traduit son engagement universel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Sa description fidèle des institutions bourgeoises.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Sa recherche d’une harmonie avec la nature.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Sa volonté de peindre des figures mythologiques.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Sa critique implicite des normes sociales et politiques.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d)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5 : Quelle idée ne serait pas pertinente dans un développement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dimension esthétique et engagée des Cahiers de Douai.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critique explicite des institutions dans tous les poèmes.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quête de liberté dans des thèmes comme l’errance et la nature.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rupture avec les traditions poétiques dans l’approche formelle.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